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C0103B">
        <w:t xml:space="preserve">170.315.a.10 Drug Formulary and Preferred Drug </w:t>
      </w:r>
      <w:r w:rsidR="00C0103B" w:rsidRPr="00C0103B">
        <w:t>List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9A77D8" w:rsidTr="00DC0225">
        <w:trPr>
          <w:trHeight w:val="331"/>
        </w:trPr>
        <w:tc>
          <w:tcPr>
            <w:tcW w:w="4045" w:type="dxa"/>
            <w:shd w:val="clear" w:color="auto" w:fill="FFFFFF" w:themeFill="background1"/>
          </w:tcPr>
          <w:p w:rsidR="009A77D8" w:rsidRPr="00DC0225" w:rsidRDefault="009A77D8" w:rsidP="009A77D8">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9A77D8" w:rsidRPr="00DC0225" w:rsidRDefault="009A77D8" w:rsidP="009A77D8">
            <w:pPr>
              <w:rPr>
                <w:rFonts w:ascii="Leelawadee UI" w:hAnsi="Leelawadee UI" w:cs="Leelawadee UI"/>
              </w:rPr>
            </w:pPr>
          </w:p>
        </w:tc>
      </w:tr>
      <w:tr w:rsidR="009A77D8" w:rsidTr="00DC0225">
        <w:trPr>
          <w:trHeight w:val="331"/>
        </w:trPr>
        <w:tc>
          <w:tcPr>
            <w:tcW w:w="4045" w:type="dxa"/>
            <w:shd w:val="clear" w:color="auto" w:fill="FFFFFF" w:themeFill="background1"/>
          </w:tcPr>
          <w:p w:rsidR="009A77D8" w:rsidRPr="00DC0225" w:rsidRDefault="009A77D8" w:rsidP="009A77D8">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9A77D8" w:rsidRPr="00DC0225" w:rsidRDefault="009A77D8" w:rsidP="009A77D8">
            <w:pPr>
              <w:rPr>
                <w:rFonts w:ascii="Leelawadee UI" w:hAnsi="Leelawadee UI" w:cs="Leelawadee UI"/>
              </w:rPr>
            </w:pPr>
          </w:p>
        </w:tc>
      </w:tr>
      <w:tr w:rsidR="009A77D8" w:rsidTr="00DC0225">
        <w:trPr>
          <w:trHeight w:val="331"/>
        </w:trPr>
        <w:tc>
          <w:tcPr>
            <w:tcW w:w="4045" w:type="dxa"/>
            <w:shd w:val="clear" w:color="auto" w:fill="FFFFFF" w:themeFill="background1"/>
          </w:tcPr>
          <w:p w:rsidR="009A77D8" w:rsidRPr="00DC0225" w:rsidRDefault="009A77D8" w:rsidP="009A77D8">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9A77D8" w:rsidRPr="00DC0225" w:rsidRDefault="009A77D8" w:rsidP="009A77D8">
            <w:pPr>
              <w:rPr>
                <w:rFonts w:ascii="Leelawadee UI" w:hAnsi="Leelawadee UI" w:cs="Leelawadee UI"/>
              </w:rPr>
            </w:pPr>
          </w:p>
        </w:tc>
      </w:tr>
      <w:tr w:rsidR="009A77D8" w:rsidTr="00DC0225">
        <w:trPr>
          <w:trHeight w:val="331"/>
        </w:trPr>
        <w:tc>
          <w:tcPr>
            <w:tcW w:w="4045" w:type="dxa"/>
            <w:shd w:val="clear" w:color="auto" w:fill="FFFFFF" w:themeFill="background1"/>
          </w:tcPr>
          <w:p w:rsidR="009A77D8" w:rsidRPr="00DC0225" w:rsidRDefault="009A77D8" w:rsidP="009A77D8">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9A77D8" w:rsidRPr="00DC0225" w:rsidRDefault="009A77D8" w:rsidP="009A77D8">
            <w:pPr>
              <w:rPr>
                <w:rFonts w:ascii="Leelawadee UI" w:hAnsi="Leelawadee UI" w:cs="Leelawadee UI"/>
              </w:rPr>
            </w:pPr>
          </w:p>
        </w:tc>
      </w:tr>
      <w:tr w:rsidR="009A77D8" w:rsidTr="00DC0225">
        <w:trPr>
          <w:trHeight w:val="350"/>
        </w:trPr>
        <w:tc>
          <w:tcPr>
            <w:tcW w:w="4045" w:type="dxa"/>
            <w:shd w:val="clear" w:color="auto" w:fill="FFFFFF" w:themeFill="background1"/>
          </w:tcPr>
          <w:p w:rsidR="009A77D8" w:rsidRPr="00DC0225" w:rsidRDefault="009A77D8" w:rsidP="009A77D8">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9A77D8" w:rsidRPr="00DC0225" w:rsidRDefault="009A77D8" w:rsidP="009A77D8">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9A77D8" w:rsidTr="00DC0225">
        <w:trPr>
          <w:trHeight w:val="350"/>
        </w:trPr>
        <w:tc>
          <w:tcPr>
            <w:tcW w:w="4045" w:type="dxa"/>
            <w:shd w:val="clear" w:color="auto" w:fill="FFFFFF" w:themeFill="background1"/>
          </w:tcPr>
          <w:p w:rsidR="009A77D8" w:rsidRPr="00DC0225" w:rsidRDefault="009A77D8" w:rsidP="009A77D8">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9A77D8" w:rsidRPr="00DC0225" w:rsidRDefault="009A77D8" w:rsidP="009A77D8">
            <w:pPr>
              <w:rPr>
                <w:rFonts w:ascii="Leelawadee UI" w:hAnsi="Leelawadee UI" w:cs="Leelawadee UI"/>
              </w:rPr>
            </w:pPr>
          </w:p>
        </w:tc>
      </w:tr>
      <w:tr w:rsidR="009A77D8" w:rsidTr="00DC0225">
        <w:trPr>
          <w:trHeight w:val="350"/>
        </w:trPr>
        <w:tc>
          <w:tcPr>
            <w:tcW w:w="4045" w:type="dxa"/>
            <w:shd w:val="clear" w:color="auto" w:fill="FFFFFF" w:themeFill="background1"/>
          </w:tcPr>
          <w:p w:rsidR="009A77D8" w:rsidRPr="00DC0225" w:rsidRDefault="009A77D8" w:rsidP="009A77D8">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9A77D8" w:rsidRPr="00DC0225" w:rsidRDefault="009A77D8" w:rsidP="009A77D8">
            <w:pPr>
              <w:rPr>
                <w:rFonts w:ascii="Leelawadee UI" w:hAnsi="Leelawadee UI" w:cs="Leelawadee UI"/>
              </w:rPr>
            </w:pPr>
          </w:p>
        </w:tc>
      </w:tr>
      <w:tr w:rsidR="009A77D8" w:rsidTr="00DC0225">
        <w:trPr>
          <w:trHeight w:val="350"/>
        </w:trPr>
        <w:tc>
          <w:tcPr>
            <w:tcW w:w="4045" w:type="dxa"/>
            <w:shd w:val="clear" w:color="auto" w:fill="FFFFFF" w:themeFill="background1"/>
          </w:tcPr>
          <w:p w:rsidR="009A77D8" w:rsidRPr="00DC0225" w:rsidRDefault="009A77D8" w:rsidP="009A77D8">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9A77D8" w:rsidRPr="00DC0225" w:rsidRDefault="009A77D8" w:rsidP="009A77D8">
            <w:pPr>
              <w:rPr>
                <w:rFonts w:ascii="Leelawadee UI" w:hAnsi="Leelawadee UI" w:cs="Leelawadee UI"/>
              </w:rPr>
            </w:pPr>
          </w:p>
        </w:tc>
      </w:tr>
      <w:tr w:rsidR="009A77D8" w:rsidTr="00DC0225">
        <w:trPr>
          <w:trHeight w:val="313"/>
        </w:trPr>
        <w:tc>
          <w:tcPr>
            <w:tcW w:w="4045" w:type="dxa"/>
            <w:shd w:val="clear" w:color="auto" w:fill="FFFFFF" w:themeFill="background1"/>
          </w:tcPr>
          <w:p w:rsidR="009A77D8" w:rsidRPr="00DC0225" w:rsidRDefault="009A77D8" w:rsidP="009A77D8">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9A77D8" w:rsidRPr="00DC0225" w:rsidRDefault="009A77D8" w:rsidP="009A77D8">
            <w:pPr>
              <w:rPr>
                <w:rFonts w:ascii="Leelawadee UI" w:hAnsi="Leelawadee UI" w:cs="Leelawadee UI"/>
              </w:rPr>
            </w:pPr>
          </w:p>
        </w:tc>
      </w:tr>
    </w:tbl>
    <w:p w:rsidR="00FD7F7E" w:rsidRDefault="00FD7F7E" w:rsidP="00FD7F7E"/>
    <w:p w:rsidR="00A22875" w:rsidRDefault="00A22875" w:rsidP="00A22875">
      <w:pPr>
        <w:pStyle w:val="Heading3"/>
      </w:pPr>
      <w:r>
        <w:t>Overview</w:t>
      </w:r>
    </w:p>
    <w:p w:rsidR="00A22875" w:rsidRDefault="00A22875" w:rsidP="00A22875">
      <w:r>
        <w:t>In this document you will find:</w:t>
      </w:r>
    </w:p>
    <w:p w:rsidR="00A22875" w:rsidRDefault="004F6A8F" w:rsidP="00A22875">
      <w:pPr>
        <w:pStyle w:val="ListParagraph"/>
        <w:numPr>
          <w:ilvl w:val="0"/>
          <w:numId w:val="31"/>
        </w:numPr>
      </w:pPr>
      <w:hyperlink w:anchor="_Test_Data_and_1" w:history="1">
        <w:r w:rsidR="00A22875">
          <w:rPr>
            <w:rStyle w:val="Hyperlink"/>
          </w:rPr>
          <w:t>Test Data and Test Tools</w:t>
        </w:r>
      </w:hyperlink>
    </w:p>
    <w:p w:rsidR="00A22875" w:rsidRDefault="004F6A8F" w:rsidP="00A22875">
      <w:pPr>
        <w:pStyle w:val="ListParagraph"/>
        <w:numPr>
          <w:ilvl w:val="0"/>
          <w:numId w:val="31"/>
        </w:numPr>
      </w:pPr>
      <w:hyperlink w:anchor="_Demonstrate_Standards_Support" w:history="1">
        <w:r w:rsidR="00A22875">
          <w:rPr>
            <w:rStyle w:val="Hyperlink"/>
          </w:rPr>
          <w:t>Standards Support</w:t>
        </w:r>
      </w:hyperlink>
    </w:p>
    <w:p w:rsidR="00A22875" w:rsidRPr="00241B8B" w:rsidRDefault="004F6A8F" w:rsidP="00A22875">
      <w:pPr>
        <w:pStyle w:val="ListParagraph"/>
        <w:numPr>
          <w:ilvl w:val="0"/>
          <w:numId w:val="31"/>
        </w:numPr>
        <w:rPr>
          <w:rStyle w:val="Hyperlink"/>
          <w:color w:val="auto"/>
          <w:u w:val="none"/>
        </w:rPr>
      </w:pPr>
      <w:hyperlink w:anchor="_170.315(a)(10)_-_Drug" w:history="1">
        <w:r w:rsidR="00A22875">
          <w:rPr>
            <w:rStyle w:val="Hyperlink"/>
          </w:rPr>
          <w:t>Drummond Test Report (Instructions, Expected Results, Points to Remember)</w:t>
        </w:r>
      </w:hyperlink>
    </w:p>
    <w:p w:rsidR="00A22875" w:rsidRPr="00241B8B" w:rsidRDefault="004F6A8F" w:rsidP="00A22875">
      <w:pPr>
        <w:pStyle w:val="ListParagraph"/>
        <w:numPr>
          <w:ilvl w:val="0"/>
          <w:numId w:val="31"/>
        </w:numPr>
        <w:rPr>
          <w:rStyle w:val="Hyperlink"/>
          <w:color w:val="auto"/>
          <w:u w:val="none"/>
        </w:rPr>
      </w:pPr>
      <w:hyperlink w:anchor="_Test_Procedures" w:history="1">
        <w:r w:rsidR="00A22875" w:rsidRPr="00241B8B">
          <w:rPr>
            <w:rStyle w:val="Hyperlink"/>
          </w:rPr>
          <w:t>Test Procedures</w:t>
        </w:r>
      </w:hyperlink>
    </w:p>
    <w:p w:rsidR="00A22875" w:rsidRDefault="004F6A8F" w:rsidP="00A22875">
      <w:pPr>
        <w:pStyle w:val="ListParagraph"/>
        <w:numPr>
          <w:ilvl w:val="0"/>
          <w:numId w:val="31"/>
        </w:numPr>
      </w:pPr>
      <w:hyperlink w:anchor="_Appendix_A:_Testing" w:history="1">
        <w:r w:rsidR="00A22875" w:rsidRPr="00241B8B">
          <w:rPr>
            <w:rStyle w:val="Hyperlink"/>
          </w:rPr>
          <w:t>Appendix A: Testing Guide</w:t>
        </w:r>
      </w:hyperlink>
    </w:p>
    <w:p w:rsidR="00A22875" w:rsidRDefault="004F6A8F" w:rsidP="00A22875">
      <w:pPr>
        <w:pStyle w:val="ListParagraph"/>
        <w:numPr>
          <w:ilvl w:val="0"/>
          <w:numId w:val="31"/>
        </w:numPr>
      </w:pPr>
      <w:hyperlink w:anchor="_Appendix_B:_ONC" w:history="1">
        <w:r w:rsidR="00A22875">
          <w:rPr>
            <w:rStyle w:val="Hyperlink"/>
          </w:rPr>
          <w:t>Appendix B: ONC Criteria</w:t>
        </w:r>
      </w:hyperlink>
    </w:p>
    <w:p w:rsidR="00A22875" w:rsidRDefault="00A22875" w:rsidP="00FD7F7E"/>
    <w:p w:rsidR="009D5A77" w:rsidRDefault="009D5A77" w:rsidP="009D5A77">
      <w:pPr>
        <w:pStyle w:val="Heading3"/>
      </w:pPr>
      <w:bookmarkStart w:id="0" w:name="_Toc432066403"/>
      <w:r w:rsidRPr="00EA50E7">
        <w:t>Version of ONC Test Method</w:t>
      </w:r>
      <w:bookmarkEnd w:id="0"/>
    </w:p>
    <w:p w:rsidR="009D5A77" w:rsidRDefault="00A22875"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343659">
        <w:t>Health IT Developer</w:t>
      </w:r>
      <w:r w:rsidR="007902A0">
        <w:t xml:space="preserve"> or Participant </w:t>
      </w:r>
      <w:proofErr w:type="gramStart"/>
      <w:r w:rsidR="007902A0">
        <w:t>Under</w:t>
      </w:r>
      <w:proofErr w:type="gramEnd"/>
      <w:r w:rsidR="00343659">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FD7F7E" w:rsidRDefault="00FD7F7E" w:rsidP="00FD7F7E">
      <w:pPr>
        <w:spacing w:line="360" w:lineRule="auto"/>
        <w:rPr>
          <w:color w:val="D9D9D9" w:themeColor="background1" w:themeShade="D9"/>
        </w:rPr>
      </w:pPr>
    </w:p>
    <w:p w:rsidR="00FD7F7E" w:rsidRDefault="00FD7F7E" w:rsidP="00FD7F7E"/>
    <w:p w:rsidR="00796727" w:rsidRDefault="00796727">
      <w:pPr>
        <w:rPr>
          <w:rFonts w:ascii="Arial" w:hAnsi="Arial" w:cs="Arial"/>
          <w:b/>
          <w:bCs/>
          <w:kern w:val="32"/>
          <w:sz w:val="32"/>
          <w:szCs w:val="32"/>
        </w:rPr>
      </w:pPr>
      <w:bookmarkStart w:id="3" w:name="_Test_Data_and"/>
      <w:bookmarkEnd w:id="3"/>
      <w:r>
        <w:br w:type="page"/>
      </w:r>
    </w:p>
    <w:p w:rsidR="009D5A77" w:rsidRDefault="009D5A77" w:rsidP="000C42D5">
      <w:pPr>
        <w:pStyle w:val="Heading1"/>
        <w:ind w:hanging="90"/>
      </w:pPr>
      <w:bookmarkStart w:id="4" w:name="_Test_Data_and_1"/>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03773D">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C80A7C">
              <w:rPr>
                <w:rFonts w:ascii="Leelawadee UI" w:hAnsi="Leelawadee UI" w:cs="Leelawadee UI"/>
              </w:rPr>
              <w:t xml:space="preserve"> </w:t>
            </w:r>
            <w:bookmarkStart w:id="5" w:name="_GoBack"/>
            <w:bookmarkEnd w:id="5"/>
            <w:r w:rsidR="00C80A7C">
              <w:rPr>
                <w:rFonts w:ascii="Leelawadee UI" w:hAnsi="Leelawadee UI" w:cs="Leelawadee UI"/>
              </w:rPr>
              <w:t xml:space="preserve">     </w:t>
            </w:r>
            <w:r w:rsidR="00343659">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C0103B">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0F59B3" w:rsidP="00D944B9">
            <w:pPr>
              <w:pStyle w:val="ListParagraph"/>
              <w:rPr>
                <w:rFonts w:ascii="Leelawadee UI" w:hAnsi="Leelawadee UI" w:cs="Leelawadee UI"/>
              </w:rPr>
            </w:pPr>
            <w:r>
              <w:rPr>
                <w:rFonts w:ascii="Leelawadee UI" w:hAnsi="Leelawadee UI" w:cs="Leelawadee UI"/>
              </w:rPr>
              <w:t>Not applicable</w:t>
            </w:r>
            <w:r w:rsidR="00343659">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255DC9" w:rsidRDefault="00853E22" w:rsidP="00D944B9">
            <w:pPr>
              <w:pStyle w:val="ListParagraph"/>
              <w:rPr>
                <w:rFonts w:ascii="Leelawadee UI" w:hAnsi="Leelawadee UI" w:cs="Leelawadee UI"/>
                <w:b/>
              </w:rPr>
            </w:pPr>
            <w:r>
              <w:rPr>
                <w:rFonts w:ascii="Leelawadee UI" w:hAnsi="Leelawadee UI" w:cs="Leelawadee UI"/>
              </w:rPr>
              <w:t>Developer-supplied</w:t>
            </w:r>
            <w:r w:rsidR="007D0C02">
              <w:rPr>
                <w:rFonts w:ascii="Leelawadee UI" w:hAnsi="Leelawadee UI" w:cs="Leelawadee UI"/>
              </w:rPr>
              <w:t>.</w:t>
            </w:r>
            <w:r w:rsidR="000F59B3" w:rsidRPr="000F59B3">
              <w:rPr>
                <w:rFonts w:ascii="Leelawadee UI" w:hAnsi="Leelawadee UI" w:cs="Leelawadee UI"/>
                <w:b/>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0F59B3" w:rsidP="00D944B9">
            <w:pPr>
              <w:pStyle w:val="ListParagraph"/>
              <w:rPr>
                <w:rFonts w:ascii="Leelawadee UI" w:hAnsi="Leelawadee UI" w:cs="Leelawadee UI"/>
              </w:rPr>
            </w:pPr>
            <w:r>
              <w:rPr>
                <w:rFonts w:ascii="Leelawadee UI" w:hAnsi="Leelawadee UI" w:cs="Leelawadee UI"/>
              </w:rPr>
              <w:t>Not applicable</w:t>
            </w:r>
          </w:p>
        </w:tc>
      </w:tr>
    </w:tbl>
    <w:p w:rsidR="009D5A77" w:rsidRDefault="009D5A77" w:rsidP="009D5A77"/>
    <w:p w:rsidR="00D2534F" w:rsidRDefault="00D2534F">
      <w:pPr>
        <w:rPr>
          <w:rFonts w:ascii="Arial" w:hAnsi="Arial" w:cs="Arial"/>
          <w:b/>
          <w:bCs/>
          <w:kern w:val="32"/>
          <w:sz w:val="32"/>
          <w:szCs w:val="32"/>
        </w:rPr>
      </w:pPr>
    </w:p>
    <w:p w:rsidR="00343659" w:rsidRDefault="00343659">
      <w:pPr>
        <w:rPr>
          <w:rFonts w:ascii="Arial" w:hAnsi="Arial" w:cs="Arial"/>
          <w:b/>
          <w:bCs/>
          <w:kern w:val="32"/>
          <w:sz w:val="32"/>
          <w:szCs w:val="32"/>
        </w:rPr>
      </w:pPr>
      <w:r>
        <w:br w:type="page"/>
      </w:r>
    </w:p>
    <w:p w:rsidR="00FD7F7E" w:rsidRDefault="00FD7F7E" w:rsidP="00FD7F7E">
      <w:pPr>
        <w:pStyle w:val="Heading1"/>
      </w:pPr>
      <w:bookmarkStart w:id="6" w:name="_Demonstrate_Standards_Support"/>
      <w:bookmarkEnd w:id="6"/>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670"/>
      </w:tblGrid>
      <w:tr w:rsidR="00124587" w:rsidTr="000F7DAB">
        <w:trPr>
          <w:trHeight w:val="432"/>
        </w:trPr>
        <w:tc>
          <w:tcPr>
            <w:tcW w:w="306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670" w:type="dxa"/>
            <w:shd w:val="clear" w:color="auto" w:fill="DBE5F1" w:themeFill="accent1" w:themeFillTint="33"/>
          </w:tcPr>
          <w:p w:rsidR="00124587" w:rsidRPr="00255DC9" w:rsidRDefault="00124587" w:rsidP="000F7DAB">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DD40F3">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0A5D33" w:rsidRPr="007D0C02">
              <w:rPr>
                <w:rFonts w:ascii="Leelawadee UI" w:hAnsi="Leelawadee UI" w:cs="Leelawadee UI"/>
              </w:rPr>
              <w:t>There are no standards required for this criterion.</w:t>
            </w:r>
          </w:p>
        </w:tc>
      </w:tr>
    </w:tbl>
    <w:p w:rsidR="00343659" w:rsidRDefault="00343659" w:rsidP="00FD7F7E">
      <w:pPr>
        <w:pStyle w:val="Heading1"/>
      </w:pPr>
    </w:p>
    <w:p w:rsidR="00343659" w:rsidRDefault="00343659" w:rsidP="00343659">
      <w:pPr>
        <w:rPr>
          <w:rFonts w:ascii="Arial" w:hAnsi="Arial" w:cs="Arial"/>
          <w:kern w:val="32"/>
          <w:sz w:val="32"/>
          <w:szCs w:val="32"/>
        </w:rPr>
      </w:pPr>
      <w:r>
        <w:br w:type="page"/>
      </w:r>
    </w:p>
    <w:p w:rsidR="00362E3C" w:rsidRDefault="00D13FA6" w:rsidP="00FD7F7E">
      <w:pPr>
        <w:pStyle w:val="Heading1"/>
      </w:pPr>
      <w:bookmarkStart w:id="7" w:name="_170.315(a)(10)_-_Drug"/>
      <w:bookmarkEnd w:id="7"/>
      <w:r>
        <w:lastRenderedPageBreak/>
        <w:t>1</w:t>
      </w:r>
      <w:r w:rsidR="00C0103B">
        <w:t>70.315(a</w:t>
      </w:r>
      <w:proofErr w:type="gramStart"/>
      <w:r w:rsidR="00C0103B">
        <w:t>)(</w:t>
      </w:r>
      <w:proofErr w:type="gramEnd"/>
      <w:r w:rsidR="00C0103B" w:rsidRPr="00C0103B">
        <w:t>10</w:t>
      </w:r>
      <w:r w:rsidR="00343659">
        <w:t xml:space="preserve">) - </w:t>
      </w:r>
      <w:r w:rsidR="00C0103B">
        <w:t xml:space="preserve">Drug Formulary </w:t>
      </w:r>
      <w:r>
        <w:t xml:space="preserve">and Preferred Drug List </w:t>
      </w:r>
      <w:r w:rsidR="00C0103B">
        <w:t>Checks</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5400"/>
      </w:tblGrid>
      <w:tr w:rsidR="00362E3C" w:rsidTr="00F04DC0">
        <w:trPr>
          <w:trHeight w:val="432"/>
        </w:trPr>
        <w:tc>
          <w:tcPr>
            <w:tcW w:w="333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540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43659" w:rsidRDefault="00362E3C" w:rsidP="00DD40F3">
            <w:r w:rsidRPr="00255DC9">
              <w:rPr>
                <w:rFonts w:ascii="Leelawadee UI" w:hAnsi="Leelawadee UI" w:cs="Leelawadee UI"/>
                <w:b/>
              </w:rPr>
              <w:t>Instructions:</w:t>
            </w:r>
            <w:r w:rsidRPr="00C10C34">
              <w:t xml:space="preserve"> </w:t>
            </w:r>
          </w:p>
          <w:p w:rsidR="000F59B3" w:rsidRPr="000F59B3" w:rsidRDefault="00343659" w:rsidP="009052CC">
            <w:pPr>
              <w:pStyle w:val="ListParagraph"/>
              <w:numPr>
                <w:ilvl w:val="0"/>
                <w:numId w:val="29"/>
              </w:numPr>
              <w:rPr>
                <w:rFonts w:ascii="Leelawadee UI" w:hAnsi="Leelawadee UI" w:cs="Leelawadee UI"/>
              </w:rPr>
            </w:pPr>
            <w:r>
              <w:t>Health IT module</w:t>
            </w:r>
            <w:r w:rsidR="000F59B3" w:rsidRPr="00C10C34">
              <w:t xml:space="preserve"> has to satisfy </w:t>
            </w:r>
            <w:r w:rsidR="000F59B3" w:rsidRPr="00343659">
              <w:rPr>
                <w:b/>
              </w:rPr>
              <w:t>either</w:t>
            </w:r>
            <w:r w:rsidR="000F59B3" w:rsidRPr="00C10C34">
              <w:t xml:space="preserve"> 170.315(a</w:t>
            </w:r>
            <w:proofErr w:type="gramStart"/>
            <w:r w:rsidR="000F59B3" w:rsidRPr="00C10C34">
              <w:t>)(</w:t>
            </w:r>
            <w:proofErr w:type="gramEnd"/>
            <w:r w:rsidR="000F59B3" w:rsidRPr="00C10C34">
              <w:t>10)(</w:t>
            </w:r>
            <w:proofErr w:type="spellStart"/>
            <w:r w:rsidR="000F59B3" w:rsidRPr="00C10C34">
              <w:t>i</w:t>
            </w:r>
            <w:proofErr w:type="spellEnd"/>
            <w:r w:rsidR="000F59B3" w:rsidRPr="00C10C34">
              <w:t xml:space="preserve">) Drug Formulary Checks </w:t>
            </w:r>
            <w:r w:rsidR="000F59B3" w:rsidRPr="00343659">
              <w:rPr>
                <w:b/>
              </w:rPr>
              <w:t>or</w:t>
            </w:r>
            <w:r w:rsidR="000F59B3" w:rsidRPr="00C10C34">
              <w:t xml:space="preserve"> 170.315(a)(10)(ii) Preferred Drug List Checks.</w:t>
            </w:r>
          </w:p>
        </w:tc>
      </w:tr>
      <w:tr w:rsidR="00255DC9" w:rsidTr="00255DC9">
        <w:trPr>
          <w:trHeight w:val="432"/>
        </w:trPr>
        <w:tc>
          <w:tcPr>
            <w:tcW w:w="8730" w:type="dxa"/>
            <w:gridSpan w:val="2"/>
            <w:shd w:val="clear" w:color="auto" w:fill="DBE5F1" w:themeFill="accent1" w:themeFillTint="33"/>
          </w:tcPr>
          <w:p w:rsidR="009052CC"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9052CC" w:rsidRDefault="009052CC" w:rsidP="004748BF">
            <w:pPr>
              <w:rPr>
                <w:rFonts w:ascii="Leelawadee UI" w:hAnsi="Leelawadee UI" w:cs="Leelawadee UI"/>
                <w:b/>
              </w:rPr>
            </w:pPr>
            <w:r>
              <w:t>Health IT module (HIT) must either:</w:t>
            </w:r>
          </w:p>
          <w:p w:rsidR="00B5370B" w:rsidRDefault="0014677F" w:rsidP="00FC2397">
            <w:pPr>
              <w:numPr>
                <w:ilvl w:val="0"/>
                <w:numId w:val="27"/>
              </w:numPr>
            </w:pPr>
            <w:r>
              <w:t>Automatically check</w:t>
            </w:r>
            <w:r w:rsidR="00F61222" w:rsidRPr="00C10C34">
              <w:t xml:space="preserve"> </w:t>
            </w:r>
            <w:r>
              <w:t xml:space="preserve">the drug formulary and display </w:t>
            </w:r>
            <w:r w:rsidR="00F61222" w:rsidRPr="00C10C34">
              <w:t>the formulary inform</w:t>
            </w:r>
            <w:r w:rsidR="009052CC">
              <w:t xml:space="preserve">ation for </w:t>
            </w:r>
            <w:r w:rsidR="003C2BB2">
              <w:t>a given patient and medication</w:t>
            </w:r>
          </w:p>
          <w:p w:rsidR="009052CC" w:rsidRDefault="009052CC" w:rsidP="009052CC"/>
          <w:p w:rsidR="009052CC" w:rsidRPr="009052CC" w:rsidRDefault="009052CC" w:rsidP="009052CC">
            <w:pPr>
              <w:ind w:firstLine="702"/>
              <w:rPr>
                <w:b/>
              </w:rPr>
            </w:pPr>
            <w:r w:rsidRPr="009052CC">
              <w:rPr>
                <w:b/>
              </w:rPr>
              <w:t>OR</w:t>
            </w:r>
          </w:p>
          <w:p w:rsidR="009052CC" w:rsidRDefault="009052CC" w:rsidP="009052CC"/>
          <w:p w:rsidR="00343659" w:rsidRPr="00C10C34" w:rsidRDefault="0014677F" w:rsidP="003C2BB2">
            <w:pPr>
              <w:numPr>
                <w:ilvl w:val="0"/>
                <w:numId w:val="27"/>
              </w:numPr>
            </w:pPr>
            <w:r>
              <w:t xml:space="preserve">Automatically </w:t>
            </w:r>
            <w:r w:rsidR="00343659" w:rsidRPr="00C10C34">
              <w:t xml:space="preserve">check a preferred drug list and display the preferred drug list information for </w:t>
            </w:r>
            <w:r w:rsidR="003C2BB2">
              <w:t>a given patient and medication</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343659" w:rsidRDefault="00343659" w:rsidP="00343659">
            <w:pPr>
              <w:numPr>
                <w:ilvl w:val="0"/>
                <w:numId w:val="30"/>
              </w:numPr>
            </w:pPr>
            <w:r>
              <w:t>This module is eligible for gap certification.</w:t>
            </w:r>
          </w:p>
          <w:p w:rsidR="00E22856" w:rsidRDefault="00F61222" w:rsidP="00343659">
            <w:pPr>
              <w:numPr>
                <w:ilvl w:val="0"/>
                <w:numId w:val="30"/>
              </w:numPr>
            </w:pPr>
            <w:r w:rsidRPr="00C10C34">
              <w:t xml:space="preserve">If the implementation allows, </w:t>
            </w:r>
            <w:r w:rsidR="00343659">
              <w:t>the</w:t>
            </w:r>
            <w:r w:rsidRPr="00C10C34">
              <w:t xml:space="preserve"> </w:t>
            </w:r>
            <w:r w:rsidR="009B63EC">
              <w:t xml:space="preserve">health IT module </w:t>
            </w:r>
            <w:r w:rsidRPr="00C10C34">
              <w:t xml:space="preserve">must test </w:t>
            </w:r>
            <w:r w:rsidR="009B63EC">
              <w:t xml:space="preserve">at least </w:t>
            </w:r>
            <w:r w:rsidRPr="00C10C34">
              <w:t xml:space="preserve">one medication that is </w:t>
            </w:r>
            <w:r w:rsidR="000828C4">
              <w:t>“</w:t>
            </w:r>
            <w:r w:rsidRPr="00C10C34">
              <w:t xml:space="preserve">not </w:t>
            </w:r>
            <w:r w:rsidR="009B63EC">
              <w:t>on</w:t>
            </w:r>
            <w:r w:rsidRPr="00C10C34">
              <w:t xml:space="preserve"> formulary</w:t>
            </w:r>
            <w:r w:rsidR="00380F04">
              <w:t>”</w:t>
            </w:r>
            <w:r w:rsidRPr="00C10C34">
              <w:t>.</w:t>
            </w:r>
          </w:p>
          <w:p w:rsidR="007D0C02" w:rsidRPr="00C10C34" w:rsidRDefault="007D0C02" w:rsidP="00C81EA2">
            <w:pPr>
              <w:numPr>
                <w:ilvl w:val="0"/>
                <w:numId w:val="30"/>
              </w:numPr>
            </w:pPr>
            <w:r w:rsidRPr="00032844">
              <w:t>If health IT developer is also testing (a.1) CPOE-Medications</w:t>
            </w:r>
            <w:r>
              <w:t xml:space="preserve">, then developer may elect to perform the </w:t>
            </w:r>
            <w:r w:rsidR="00C81EA2">
              <w:t>Drug Formulary or Preferred Drug List Checks</w:t>
            </w:r>
            <w:r>
              <w:t xml:space="preserve"> while testing module (a.1) CPOE-Medications.</w:t>
            </w:r>
          </w:p>
        </w:tc>
      </w:tr>
    </w:tbl>
    <w:p w:rsidR="00362E3C" w:rsidRDefault="00362E3C"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C82683" w:rsidRDefault="00C82683" w:rsidP="004151F1"/>
    <w:p w:rsidR="004151F1" w:rsidRDefault="00C82683" w:rsidP="004151F1">
      <w:pPr>
        <w:pStyle w:val="Heading3"/>
        <w:rPr>
          <w:u w:val="single"/>
        </w:rPr>
      </w:pPr>
      <w:bookmarkStart w:id="8" w:name="_Test_Procedures"/>
      <w:bookmarkEnd w:id="8"/>
      <w:r w:rsidRPr="00207BB2">
        <w:rPr>
          <w:u w:val="single"/>
        </w:rPr>
        <w:t>Test Procedures</w:t>
      </w:r>
    </w:p>
    <w:p w:rsidR="00C92603" w:rsidRDefault="00C92603" w:rsidP="00C82683">
      <w:pPr>
        <w:rPr>
          <w:b/>
        </w:rPr>
      </w:pPr>
    </w:p>
    <w:p w:rsidR="00FD5914" w:rsidRPr="00C82683" w:rsidRDefault="00FD5914" w:rsidP="00C82683">
      <w:r>
        <w:rPr>
          <w:b/>
        </w:rPr>
        <w:t>1.1</w:t>
      </w:r>
      <w:r w:rsidRPr="00060951">
        <w:rPr>
          <w:b/>
        </w:rPr>
        <w:t xml:space="preserve"> </w:t>
      </w:r>
      <w:r>
        <w:rPr>
          <w:b/>
        </w:rPr>
        <w:t xml:space="preserve">Drug Formulary and Preferred Drug </w:t>
      </w:r>
      <w:r w:rsidRPr="00FD5914">
        <w:rPr>
          <w:b/>
        </w:rPr>
        <w:t xml:space="preserve">List </w:t>
      </w:r>
    </w:p>
    <w:tbl>
      <w:tblPr>
        <w:tblStyle w:val="TableGrid"/>
        <w:tblW w:w="0" w:type="auto"/>
        <w:tblLook w:val="04A0" w:firstRow="1" w:lastRow="0" w:firstColumn="1" w:lastColumn="0" w:noHBand="0" w:noVBand="1"/>
      </w:tblPr>
      <w:tblGrid>
        <w:gridCol w:w="828"/>
        <w:gridCol w:w="7668"/>
      </w:tblGrid>
      <w:tr w:rsidR="00362E3C" w:rsidTr="00CB37D0">
        <w:sdt>
          <w:sdtPr>
            <w:id w:val="-153426567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362E3C" w:rsidRDefault="004748BF" w:rsidP="004A3AA7">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362E3C" w:rsidRPr="00C15A82" w:rsidRDefault="00C92603" w:rsidP="007713E8">
            <w:pPr>
              <w:spacing w:line="360" w:lineRule="auto"/>
            </w:pPr>
            <w:r>
              <w:t xml:space="preserve">User </w:t>
            </w:r>
            <w:r w:rsidR="007713E8">
              <w:t>orders</w:t>
            </w:r>
            <w:r>
              <w:t xml:space="preserve"> two </w:t>
            </w:r>
            <w:r w:rsidR="007713E8">
              <w:t xml:space="preserve">medications </w:t>
            </w:r>
            <w:r w:rsidR="007D0C02">
              <w:t xml:space="preserve">to demonstrate Health IT module performs an automated check for a </w:t>
            </w:r>
            <w:r>
              <w:t>Drug Formulary</w:t>
            </w:r>
            <w:r w:rsidR="007D0C02">
              <w:t xml:space="preserve"> or Preferred Drug List.</w:t>
            </w:r>
            <w:r w:rsidR="00407E9E">
              <w:t xml:space="preserve">  </w:t>
            </w:r>
            <w:r w:rsidR="00407E9E" w:rsidRPr="00407E9E">
              <w:rPr>
                <w:i/>
              </w:rPr>
              <w:t>Additional medication orders may be requested at Proctor’s discretion.</w:t>
            </w:r>
          </w:p>
        </w:tc>
      </w:tr>
      <w:tr w:rsidR="00362E3C" w:rsidTr="00CB37D0">
        <w:tc>
          <w:tcPr>
            <w:tcW w:w="828" w:type="dxa"/>
            <w:tcBorders>
              <w:bottom w:val="single" w:sz="4" w:space="0" w:color="auto"/>
              <w:right w:val="single" w:sz="4" w:space="0" w:color="auto"/>
            </w:tcBorders>
          </w:tcPr>
          <w:sdt>
            <w:sdtPr>
              <w:id w:val="-547531856"/>
              <w14:checkbox>
                <w14:checked w14:val="0"/>
                <w14:checkedState w14:val="2612" w14:font="Arial Unicode MS"/>
                <w14:uncheckedState w14:val="2610" w14:font="Arial Unicode MS"/>
              </w14:checkbox>
            </w:sdtPr>
            <w:sdtEndPr/>
            <w:sdtContent>
              <w:p w:rsidR="00362E3C" w:rsidRDefault="00362E3C" w:rsidP="004A3AA7">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257470" w:rsidRPr="00C15A82" w:rsidRDefault="00257470" w:rsidP="00257470">
            <w:pPr>
              <w:spacing w:line="360" w:lineRule="auto"/>
            </w:pPr>
            <w:r>
              <w:t>Proctor verifies the health IT module automatically checks drug formulary or preferred drug list for a given patient and medication.</w:t>
            </w:r>
          </w:p>
        </w:tc>
      </w:tr>
    </w:tbl>
    <w:p w:rsidR="007D0C02" w:rsidRPr="00D64DAF" w:rsidRDefault="007D0C02" w:rsidP="007D0C02"/>
    <w:p w:rsidR="007D0C02" w:rsidRDefault="007D0C02" w:rsidP="007D0C0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362E3C" w:rsidRDefault="00362E3C" w:rsidP="00362E3C">
      <w:pPr>
        <w:spacing w:line="360" w:lineRule="auto"/>
        <w:rPr>
          <w:color w:val="D9D9D9" w:themeColor="background1" w:themeShade="D9"/>
        </w:rPr>
      </w:pPr>
    </w:p>
    <w:p w:rsidR="00255DC9" w:rsidRDefault="00255DC9">
      <w:pPr>
        <w:rPr>
          <w:color w:val="D9D9D9" w:themeColor="background1" w:themeShade="D9"/>
        </w:rPr>
      </w:pPr>
      <w:r>
        <w:rPr>
          <w:color w:val="D9D9D9" w:themeColor="background1" w:themeShade="D9"/>
        </w:rPr>
        <w:br w:type="page"/>
      </w:r>
    </w:p>
    <w:p w:rsidR="00362E3C" w:rsidRDefault="00362E3C" w:rsidP="00362E3C">
      <w:pPr>
        <w:pStyle w:val="Heading1"/>
      </w:pPr>
      <w:bookmarkStart w:id="9" w:name="_Appendix_A:_Testing"/>
      <w:bookmarkStart w:id="10" w:name="_Toc432066410"/>
      <w:bookmarkEnd w:id="9"/>
      <w:r>
        <w:lastRenderedPageBreak/>
        <w:t>Appendix A: Testing Guide</w:t>
      </w:r>
      <w:bookmarkEnd w:id="10"/>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B9158A">
        <w:t>Mar</w:t>
      </w:r>
      <w:r>
        <w:t>-</w:t>
      </w:r>
      <w:r w:rsidRPr="00230C89">
        <w:t>2016</w:t>
      </w:r>
      <w:r>
        <w:t xml:space="preserve"> Additions</w:t>
      </w:r>
    </w:p>
    <w:p w:rsidR="0041704D" w:rsidRDefault="00163F82" w:rsidP="005D6980">
      <w:pPr>
        <w:pStyle w:val="ListParagraph"/>
        <w:numPr>
          <w:ilvl w:val="0"/>
          <w:numId w:val="27"/>
        </w:numPr>
      </w:pPr>
      <w:r w:rsidRPr="00163F82">
        <w:t xml:space="preserve">The source of the drug formulary is left to the </w:t>
      </w:r>
      <w:r w:rsidR="00343659">
        <w:t>Health IT Developer</w:t>
      </w:r>
      <w:r w:rsidRPr="00163F82">
        <w:t>. It can be completely proprietary (e.g. hospital formulary from pharmacy), insurance based (e.g. formulary from insurance) or obtained from a 3rd party source.</w:t>
      </w:r>
    </w:p>
    <w:p w:rsidR="007D0C02" w:rsidRDefault="007D0C02" w:rsidP="007D0C02">
      <w:pPr>
        <w:pStyle w:val="ListParagraph"/>
        <w:numPr>
          <w:ilvl w:val="0"/>
          <w:numId w:val="27"/>
        </w:numPr>
      </w:pPr>
      <w:r w:rsidRPr="007D0C02">
        <w:t>No standard is required for drug formulary checks. However, NCPDP Formulary and Benefit Standard v3.0 is widely implemented today in support of Medicare Part D requirements.  Note that drug formulary files should be downloaded and incorporated into the health IT system if using the NCPDP Formulary and Benefit Standard v3.0</w:t>
      </w:r>
      <w:r>
        <w:t>.</w:t>
      </w:r>
    </w:p>
    <w:p w:rsidR="007D0C02" w:rsidRDefault="007D0C02" w:rsidP="007D0C02">
      <w:pPr>
        <w:pStyle w:val="ListParagraph"/>
        <w:numPr>
          <w:ilvl w:val="0"/>
          <w:numId w:val="27"/>
        </w:numPr>
      </w:pPr>
      <w:r w:rsidRPr="007D0C02">
        <w:t>Health IT will not satisfy this provision if it provides a hyperlink to a patient’s drug formulary that a user would have to manually open and navigate. The health IT must perform an automated check for a drug formulary for a specific patient and the medication to be prescribed</w:t>
      </w:r>
      <w:r>
        <w:t>.</w:t>
      </w:r>
    </w:p>
    <w:p w:rsidR="007D0C02" w:rsidRDefault="007D0C02" w:rsidP="007D0C02">
      <w:pPr>
        <w:pStyle w:val="ListParagraph"/>
        <w:numPr>
          <w:ilvl w:val="0"/>
          <w:numId w:val="27"/>
        </w:numPr>
      </w:pPr>
      <w:r w:rsidRPr="007D0C02">
        <w:t>An internally managed drug formulary is acceptable for the automatic checking</w:t>
      </w:r>
      <w:r>
        <w:t>.</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362E3C" w:rsidRDefault="00362E3C" w:rsidP="00362E3C">
      <w:pPr>
        <w:pStyle w:val="Heading1"/>
      </w:pPr>
      <w:bookmarkStart w:id="11" w:name="_Appendix_B:_ONC"/>
      <w:bookmarkStart w:id="12" w:name="_Toc432066411"/>
      <w:bookmarkEnd w:id="11"/>
      <w:r>
        <w:lastRenderedPageBreak/>
        <w:t>Appendix B: ONC Criteria and Standards</w:t>
      </w:r>
      <w:bookmarkEnd w:id="12"/>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B5776F" w:rsidRDefault="00B5776F" w:rsidP="00B5776F">
      <w:pPr>
        <w:rPr>
          <w:b/>
        </w:rPr>
      </w:pPr>
      <w:r>
        <w:rPr>
          <w:b/>
        </w:rPr>
        <w:t>§170.315</w:t>
      </w:r>
      <w:r w:rsidRPr="00EE03A1">
        <w:rPr>
          <w:b/>
        </w:rPr>
        <w:t>(</w:t>
      </w:r>
      <w:r>
        <w:rPr>
          <w:b/>
        </w:rPr>
        <w:t>a</w:t>
      </w:r>
      <w:r w:rsidRPr="00EE03A1">
        <w:rPr>
          <w:b/>
        </w:rPr>
        <w:t>)(</w:t>
      </w:r>
      <w:r>
        <w:rPr>
          <w:b/>
        </w:rPr>
        <w:t>10</w:t>
      </w:r>
      <w:r w:rsidRPr="00EE03A1">
        <w:rPr>
          <w:b/>
        </w:rPr>
        <w:t xml:space="preserve">) </w:t>
      </w:r>
      <w:r w:rsidRPr="00944EE0">
        <w:rPr>
          <w:b/>
        </w:rPr>
        <w:t xml:space="preserve">Drug-formulary and preferred drug </w:t>
      </w:r>
      <w:r>
        <w:rPr>
          <w:b/>
        </w:rPr>
        <w:t>list checks</w:t>
      </w:r>
    </w:p>
    <w:p w:rsidR="00B5776F" w:rsidRDefault="00B5776F" w:rsidP="00B5776F">
      <w:r>
        <w:t xml:space="preserve">(10) </w:t>
      </w:r>
      <w:r>
        <w:rPr>
          <w:i/>
          <w:iCs/>
        </w:rPr>
        <w:t>Drug-formulary and preferred drug list checks.</w:t>
      </w:r>
      <w:r>
        <w:t xml:space="preserve"> The requirements specified in one of the following paragraphs (that is, paragraphs (a</w:t>
      </w:r>
      <w:proofErr w:type="gramStart"/>
      <w:r>
        <w:t>)(</w:t>
      </w:r>
      <w:proofErr w:type="gramEnd"/>
      <w:r>
        <w:t>10)(</w:t>
      </w:r>
      <w:proofErr w:type="spellStart"/>
      <w:r>
        <w:t>i</w:t>
      </w:r>
      <w:proofErr w:type="spellEnd"/>
      <w:r>
        <w:t>) and (a)(10)(ii) of this section) must be met to satisfy this certification criterion:</w:t>
      </w:r>
    </w:p>
    <w:p w:rsidR="00B5776F" w:rsidRDefault="00B5776F" w:rsidP="00B5776F">
      <w:pPr>
        <w:pStyle w:val="NormalWeb"/>
      </w:pPr>
      <w:r>
        <w:t>(</w:t>
      </w:r>
      <w:proofErr w:type="spellStart"/>
      <w:r>
        <w:t>i</w:t>
      </w:r>
      <w:proofErr w:type="spellEnd"/>
      <w:r>
        <w:t xml:space="preserve">) </w:t>
      </w:r>
      <w:r>
        <w:rPr>
          <w:i/>
          <w:iCs/>
        </w:rPr>
        <w:t>Drug formulary checks.</w:t>
      </w:r>
      <w:r>
        <w:t xml:space="preserve"> Automatically check whether a drug formulary exists for a given patient and medication.</w:t>
      </w:r>
    </w:p>
    <w:p w:rsidR="00B5776F" w:rsidRDefault="00B5776F" w:rsidP="00B5776F">
      <w:pPr>
        <w:pStyle w:val="NormalWeb"/>
      </w:pPr>
      <w:r>
        <w:t xml:space="preserve">(ii) </w:t>
      </w:r>
      <w:r>
        <w:rPr>
          <w:i/>
          <w:iCs/>
        </w:rPr>
        <w:t>Preferred drug list checks.</w:t>
      </w:r>
      <w:r>
        <w:t xml:space="preserve"> Automatically check whether a preferred drug list exists for a given patient and medication.</w:t>
      </w:r>
    </w:p>
    <w:p w:rsidR="00FB252C" w:rsidRDefault="00FB252C" w:rsidP="00DD40F3"/>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outlineLvl w:val="0"/>
      </w:pPr>
    </w:p>
    <w:p w:rsidR="00362E3C" w:rsidRDefault="00362E3C" w:rsidP="00362E3C">
      <w:pPr>
        <w:pStyle w:val="Heading1"/>
      </w:pPr>
      <w:bookmarkStart w:id="13" w:name="_Toc432066412"/>
      <w:bookmarkEnd w:id="2"/>
      <w:r>
        <w:t>Change Log</w:t>
      </w:r>
      <w:bookmarkEnd w:id="13"/>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362E3C" w:rsidP="005110F7">
            <w:r>
              <w:t>01-</w:t>
            </w:r>
            <w:r w:rsidR="005110F7">
              <w:t>Mar</w:t>
            </w:r>
            <w:r w:rsidR="001C23FD">
              <w:t>-</w:t>
            </w:r>
            <w:r>
              <w:t>201</w:t>
            </w:r>
            <w:r w:rsidR="00BF7304">
              <w:t>6</w:t>
            </w:r>
          </w:p>
        </w:tc>
        <w:tc>
          <w:tcPr>
            <w:tcW w:w="6768" w:type="dxa"/>
          </w:tcPr>
          <w:p w:rsidR="00362E3C" w:rsidRDefault="00362E3C" w:rsidP="004A3AA7">
            <w:r>
              <w:t>Initial Release</w:t>
            </w:r>
            <w:r w:rsidR="007D0C02">
              <w:t>.</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DB017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A8F" w:rsidRDefault="004F6A8F">
      <w:r>
        <w:separator/>
      </w:r>
    </w:p>
  </w:endnote>
  <w:endnote w:type="continuationSeparator" w:id="0">
    <w:p w:rsidR="004F6A8F" w:rsidRDefault="004F6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0F7" w:rsidRDefault="005110F7" w:rsidP="005110F7">
    <w:pPr>
      <w:pStyle w:val="Footer"/>
      <w:jc w:val="right"/>
      <w:rPr>
        <w:b/>
        <w:color w:val="000000"/>
        <w:sz w:val="16"/>
        <w:szCs w:val="16"/>
      </w:rPr>
    </w:pPr>
    <w:r>
      <w:rPr>
        <w:b/>
        <w:color w:val="000000"/>
        <w:sz w:val="16"/>
        <w:szCs w:val="16"/>
      </w:rPr>
      <w:t>Rev.: 01Mar2016</w:t>
    </w:r>
  </w:p>
  <w:p w:rsidR="005110F7" w:rsidRDefault="005110F7" w:rsidP="005110F7">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03773D">
      <w:rPr>
        <w:b/>
        <w:noProof/>
        <w:sz w:val="16"/>
        <w:szCs w:val="16"/>
      </w:rPr>
      <w:t>10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03773D">
      <w:rPr>
        <w:b/>
        <w:noProof/>
        <w:sz w:val="16"/>
        <w:szCs w:val="16"/>
      </w:rPr>
      <w:t>10</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DB017D">
      <w:rPr>
        <w:sz w:val="20"/>
        <w:szCs w:val="20"/>
      </w:rPr>
      <w:t>6</w:t>
    </w:r>
    <w:r w:rsidRPr="006A0231">
      <w:rPr>
        <w:sz w:val="20"/>
        <w:szCs w:val="20"/>
      </w:rPr>
      <w:t xml:space="preserve"> 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A8F" w:rsidRDefault="004F6A8F">
      <w:r>
        <w:separator/>
      </w:r>
    </w:p>
  </w:footnote>
  <w:footnote w:type="continuationSeparator" w:id="0">
    <w:p w:rsidR="004F6A8F" w:rsidRDefault="004F6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4F6A8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4F6A8F"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1704D">
      <w:rPr>
        <w:b/>
        <w:color w:val="000000"/>
        <w:sz w:val="32"/>
        <w:szCs w:val="32"/>
      </w:rPr>
      <w:t xml:space="preserve">  </w:t>
    </w:r>
    <w:r w:rsidR="0041704D" w:rsidRPr="0041704D">
      <w:rPr>
        <w:b/>
        <w:color w:val="000000"/>
      </w:rPr>
      <w:t>170.315.a.10 Drug Formulary and Preferred Drug List</w:t>
    </w:r>
    <w:r w:rsidR="0041704D">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4F6A8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FE6BC7"/>
    <w:multiLevelType w:val="hybridMultilevel"/>
    <w:tmpl w:val="6DB67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2"/>
  </w:num>
  <w:num w:numId="2">
    <w:abstractNumId w:val="3"/>
  </w:num>
  <w:num w:numId="3">
    <w:abstractNumId w:val="10"/>
  </w:num>
  <w:num w:numId="4">
    <w:abstractNumId w:val="9"/>
  </w:num>
  <w:num w:numId="5">
    <w:abstractNumId w:val="15"/>
  </w:num>
  <w:num w:numId="6">
    <w:abstractNumId w:val="4"/>
  </w:num>
  <w:num w:numId="7">
    <w:abstractNumId w:val="5"/>
  </w:num>
  <w:num w:numId="8">
    <w:abstractNumId w:val="22"/>
  </w:num>
  <w:num w:numId="9">
    <w:abstractNumId w:val="6"/>
  </w:num>
  <w:num w:numId="10">
    <w:abstractNumId w:val="21"/>
  </w:num>
  <w:num w:numId="11">
    <w:abstractNumId w:val="2"/>
  </w:num>
  <w:num w:numId="12">
    <w:abstractNumId w:val="19"/>
  </w:num>
  <w:num w:numId="13">
    <w:abstractNumId w:val="14"/>
  </w:num>
  <w:num w:numId="14">
    <w:abstractNumId w:val="23"/>
  </w:num>
  <w:num w:numId="15">
    <w:abstractNumId w:val="24"/>
  </w:num>
  <w:num w:numId="16">
    <w:abstractNumId w:val="29"/>
  </w:num>
  <w:num w:numId="17">
    <w:abstractNumId w:val="0"/>
  </w:num>
  <w:num w:numId="18">
    <w:abstractNumId w:val="27"/>
  </w:num>
  <w:num w:numId="19">
    <w:abstractNumId w:val="25"/>
  </w:num>
  <w:num w:numId="20">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8"/>
  </w:num>
  <w:num w:numId="24">
    <w:abstractNumId w:val="16"/>
  </w:num>
  <w:num w:numId="25">
    <w:abstractNumId w:val="17"/>
  </w:num>
  <w:num w:numId="26">
    <w:abstractNumId w:val="30"/>
  </w:num>
  <w:num w:numId="27">
    <w:abstractNumId w:val="20"/>
  </w:num>
  <w:num w:numId="28">
    <w:abstractNumId w:val="28"/>
  </w:num>
  <w:num w:numId="29">
    <w:abstractNumId w:val="13"/>
  </w:num>
  <w:num w:numId="30">
    <w:abstractNumId w:val="7"/>
  </w:num>
  <w:num w:numId="3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36BA"/>
    <w:rsid w:val="00017B5D"/>
    <w:rsid w:val="00017ED2"/>
    <w:rsid w:val="00023BE3"/>
    <w:rsid w:val="00027433"/>
    <w:rsid w:val="00031CC0"/>
    <w:rsid w:val="00033396"/>
    <w:rsid w:val="0003750C"/>
    <w:rsid w:val="0003773D"/>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718AD"/>
    <w:rsid w:val="00075C49"/>
    <w:rsid w:val="0007769F"/>
    <w:rsid w:val="000828C4"/>
    <w:rsid w:val="0008384D"/>
    <w:rsid w:val="0008418A"/>
    <w:rsid w:val="00092310"/>
    <w:rsid w:val="00097CD4"/>
    <w:rsid w:val="000A27DD"/>
    <w:rsid w:val="000A2D31"/>
    <w:rsid w:val="000A4DA2"/>
    <w:rsid w:val="000A5D33"/>
    <w:rsid w:val="000A62A6"/>
    <w:rsid w:val="000B2167"/>
    <w:rsid w:val="000B3D81"/>
    <w:rsid w:val="000B53C0"/>
    <w:rsid w:val="000B54B8"/>
    <w:rsid w:val="000B68FE"/>
    <w:rsid w:val="000C0887"/>
    <w:rsid w:val="000C0938"/>
    <w:rsid w:val="000C2A49"/>
    <w:rsid w:val="000C2BA6"/>
    <w:rsid w:val="000C3F05"/>
    <w:rsid w:val="000C42D5"/>
    <w:rsid w:val="000C794F"/>
    <w:rsid w:val="000D5EE4"/>
    <w:rsid w:val="000D7CFC"/>
    <w:rsid w:val="000E6311"/>
    <w:rsid w:val="000F59B3"/>
    <w:rsid w:val="000F71EF"/>
    <w:rsid w:val="000F7DAB"/>
    <w:rsid w:val="0010252A"/>
    <w:rsid w:val="00105D7B"/>
    <w:rsid w:val="001128A5"/>
    <w:rsid w:val="00113D1D"/>
    <w:rsid w:val="00115F20"/>
    <w:rsid w:val="00116B42"/>
    <w:rsid w:val="00124587"/>
    <w:rsid w:val="00127905"/>
    <w:rsid w:val="00127916"/>
    <w:rsid w:val="00133301"/>
    <w:rsid w:val="0013504F"/>
    <w:rsid w:val="00136BE0"/>
    <w:rsid w:val="0014677F"/>
    <w:rsid w:val="0014729D"/>
    <w:rsid w:val="001552A1"/>
    <w:rsid w:val="00157882"/>
    <w:rsid w:val="00161A53"/>
    <w:rsid w:val="00163B60"/>
    <w:rsid w:val="00163F82"/>
    <w:rsid w:val="00165103"/>
    <w:rsid w:val="0016765A"/>
    <w:rsid w:val="00172C28"/>
    <w:rsid w:val="00174D10"/>
    <w:rsid w:val="00181021"/>
    <w:rsid w:val="00190714"/>
    <w:rsid w:val="0019552B"/>
    <w:rsid w:val="001A300F"/>
    <w:rsid w:val="001A55F0"/>
    <w:rsid w:val="001A7287"/>
    <w:rsid w:val="001A7BFA"/>
    <w:rsid w:val="001B0112"/>
    <w:rsid w:val="001B2F8A"/>
    <w:rsid w:val="001B713D"/>
    <w:rsid w:val="001C0252"/>
    <w:rsid w:val="001C1393"/>
    <w:rsid w:val="001C23FD"/>
    <w:rsid w:val="001D1BE5"/>
    <w:rsid w:val="001D1F57"/>
    <w:rsid w:val="001D6341"/>
    <w:rsid w:val="001D68F0"/>
    <w:rsid w:val="001E3197"/>
    <w:rsid w:val="001E5F28"/>
    <w:rsid w:val="001F0C7E"/>
    <w:rsid w:val="002015BB"/>
    <w:rsid w:val="0020410A"/>
    <w:rsid w:val="002056F0"/>
    <w:rsid w:val="00207377"/>
    <w:rsid w:val="00230E45"/>
    <w:rsid w:val="0023498A"/>
    <w:rsid w:val="00235E08"/>
    <w:rsid w:val="002378DE"/>
    <w:rsid w:val="00240637"/>
    <w:rsid w:val="00242B20"/>
    <w:rsid w:val="00243AA5"/>
    <w:rsid w:val="0024522E"/>
    <w:rsid w:val="002469C0"/>
    <w:rsid w:val="00246A96"/>
    <w:rsid w:val="002506CD"/>
    <w:rsid w:val="00252411"/>
    <w:rsid w:val="00253A43"/>
    <w:rsid w:val="002544D3"/>
    <w:rsid w:val="00255DC9"/>
    <w:rsid w:val="00256841"/>
    <w:rsid w:val="00257470"/>
    <w:rsid w:val="0027195F"/>
    <w:rsid w:val="002749C1"/>
    <w:rsid w:val="002806B4"/>
    <w:rsid w:val="0028223B"/>
    <w:rsid w:val="00282D9B"/>
    <w:rsid w:val="00286729"/>
    <w:rsid w:val="00294DBF"/>
    <w:rsid w:val="00297D31"/>
    <w:rsid w:val="002B41B2"/>
    <w:rsid w:val="002B594B"/>
    <w:rsid w:val="002B7997"/>
    <w:rsid w:val="002C15F7"/>
    <w:rsid w:val="002C7559"/>
    <w:rsid w:val="002D50A7"/>
    <w:rsid w:val="002E3C26"/>
    <w:rsid w:val="002F155B"/>
    <w:rsid w:val="002F4A2E"/>
    <w:rsid w:val="002F7958"/>
    <w:rsid w:val="00300946"/>
    <w:rsid w:val="0030412A"/>
    <w:rsid w:val="00304DF3"/>
    <w:rsid w:val="00304E70"/>
    <w:rsid w:val="00312127"/>
    <w:rsid w:val="00312AFC"/>
    <w:rsid w:val="00332F85"/>
    <w:rsid w:val="00333E8D"/>
    <w:rsid w:val="00336EDC"/>
    <w:rsid w:val="00343659"/>
    <w:rsid w:val="00347368"/>
    <w:rsid w:val="00351967"/>
    <w:rsid w:val="00356A25"/>
    <w:rsid w:val="00361501"/>
    <w:rsid w:val="00362E3C"/>
    <w:rsid w:val="00363215"/>
    <w:rsid w:val="003672AF"/>
    <w:rsid w:val="00380F04"/>
    <w:rsid w:val="00394B5F"/>
    <w:rsid w:val="00395193"/>
    <w:rsid w:val="003B1CB6"/>
    <w:rsid w:val="003B29A3"/>
    <w:rsid w:val="003B3080"/>
    <w:rsid w:val="003B42BD"/>
    <w:rsid w:val="003B5D31"/>
    <w:rsid w:val="003B7D35"/>
    <w:rsid w:val="003C2BB2"/>
    <w:rsid w:val="003C3545"/>
    <w:rsid w:val="003C5A89"/>
    <w:rsid w:val="003D104E"/>
    <w:rsid w:val="003D2F13"/>
    <w:rsid w:val="003D47A4"/>
    <w:rsid w:val="003D5241"/>
    <w:rsid w:val="003D52DB"/>
    <w:rsid w:val="003D6861"/>
    <w:rsid w:val="003D768F"/>
    <w:rsid w:val="003D7911"/>
    <w:rsid w:val="003D7AE9"/>
    <w:rsid w:val="003E0264"/>
    <w:rsid w:val="003E17A1"/>
    <w:rsid w:val="003E292F"/>
    <w:rsid w:val="003E3541"/>
    <w:rsid w:val="003E619D"/>
    <w:rsid w:val="003E626B"/>
    <w:rsid w:val="003F30B4"/>
    <w:rsid w:val="003F40A8"/>
    <w:rsid w:val="003F51CC"/>
    <w:rsid w:val="003F6768"/>
    <w:rsid w:val="0040387A"/>
    <w:rsid w:val="00407E9E"/>
    <w:rsid w:val="0041020F"/>
    <w:rsid w:val="004151F1"/>
    <w:rsid w:val="0041704D"/>
    <w:rsid w:val="0041731B"/>
    <w:rsid w:val="004208AA"/>
    <w:rsid w:val="00423BE9"/>
    <w:rsid w:val="00425817"/>
    <w:rsid w:val="00432ED8"/>
    <w:rsid w:val="00433A78"/>
    <w:rsid w:val="00445293"/>
    <w:rsid w:val="00450818"/>
    <w:rsid w:val="004634F0"/>
    <w:rsid w:val="004730BB"/>
    <w:rsid w:val="004748BF"/>
    <w:rsid w:val="00474E2A"/>
    <w:rsid w:val="00477E14"/>
    <w:rsid w:val="00482BAD"/>
    <w:rsid w:val="00483CCA"/>
    <w:rsid w:val="00496099"/>
    <w:rsid w:val="00496E55"/>
    <w:rsid w:val="004A01D2"/>
    <w:rsid w:val="004A3AA7"/>
    <w:rsid w:val="004A6BA7"/>
    <w:rsid w:val="004A7C8A"/>
    <w:rsid w:val="004B1EBD"/>
    <w:rsid w:val="004C1AC2"/>
    <w:rsid w:val="004C251E"/>
    <w:rsid w:val="004C3732"/>
    <w:rsid w:val="004C47B5"/>
    <w:rsid w:val="004C6907"/>
    <w:rsid w:val="004D2E7F"/>
    <w:rsid w:val="004D45F3"/>
    <w:rsid w:val="004E2152"/>
    <w:rsid w:val="004E35BA"/>
    <w:rsid w:val="004E565C"/>
    <w:rsid w:val="004E5BF8"/>
    <w:rsid w:val="004F04A1"/>
    <w:rsid w:val="004F56BB"/>
    <w:rsid w:val="004F6A8F"/>
    <w:rsid w:val="00500B86"/>
    <w:rsid w:val="00507022"/>
    <w:rsid w:val="005110F7"/>
    <w:rsid w:val="00512208"/>
    <w:rsid w:val="0051570F"/>
    <w:rsid w:val="00526D00"/>
    <w:rsid w:val="005331EB"/>
    <w:rsid w:val="00534CDF"/>
    <w:rsid w:val="00535B6C"/>
    <w:rsid w:val="0054058F"/>
    <w:rsid w:val="00543249"/>
    <w:rsid w:val="005466DC"/>
    <w:rsid w:val="00551824"/>
    <w:rsid w:val="00552652"/>
    <w:rsid w:val="00560ECA"/>
    <w:rsid w:val="00562510"/>
    <w:rsid w:val="00566FE3"/>
    <w:rsid w:val="00570710"/>
    <w:rsid w:val="00571AD3"/>
    <w:rsid w:val="005769DE"/>
    <w:rsid w:val="00583CB0"/>
    <w:rsid w:val="00586615"/>
    <w:rsid w:val="005959FD"/>
    <w:rsid w:val="0059752C"/>
    <w:rsid w:val="005A27CE"/>
    <w:rsid w:val="005A5CC3"/>
    <w:rsid w:val="005A5CD8"/>
    <w:rsid w:val="005B1322"/>
    <w:rsid w:val="005B1504"/>
    <w:rsid w:val="005C3EC4"/>
    <w:rsid w:val="005C40EA"/>
    <w:rsid w:val="005C41F3"/>
    <w:rsid w:val="005C4620"/>
    <w:rsid w:val="005C649E"/>
    <w:rsid w:val="005C7B0B"/>
    <w:rsid w:val="005D24DB"/>
    <w:rsid w:val="005D7DAE"/>
    <w:rsid w:val="005E28F5"/>
    <w:rsid w:val="005E2A61"/>
    <w:rsid w:val="005E4463"/>
    <w:rsid w:val="005E5B86"/>
    <w:rsid w:val="005F020C"/>
    <w:rsid w:val="005F4354"/>
    <w:rsid w:val="005F5A97"/>
    <w:rsid w:val="005F5DA0"/>
    <w:rsid w:val="00601A68"/>
    <w:rsid w:val="0060621F"/>
    <w:rsid w:val="006162CA"/>
    <w:rsid w:val="006261AE"/>
    <w:rsid w:val="0062750E"/>
    <w:rsid w:val="00630251"/>
    <w:rsid w:val="006307A7"/>
    <w:rsid w:val="00632B41"/>
    <w:rsid w:val="00634649"/>
    <w:rsid w:val="00641425"/>
    <w:rsid w:val="006475F2"/>
    <w:rsid w:val="00652336"/>
    <w:rsid w:val="00652384"/>
    <w:rsid w:val="00652D34"/>
    <w:rsid w:val="006539F8"/>
    <w:rsid w:val="00654463"/>
    <w:rsid w:val="00661363"/>
    <w:rsid w:val="0066530B"/>
    <w:rsid w:val="00665435"/>
    <w:rsid w:val="00666020"/>
    <w:rsid w:val="00670062"/>
    <w:rsid w:val="00670919"/>
    <w:rsid w:val="00671ECB"/>
    <w:rsid w:val="00672C37"/>
    <w:rsid w:val="00674AFC"/>
    <w:rsid w:val="006853FE"/>
    <w:rsid w:val="006A0231"/>
    <w:rsid w:val="006A3C17"/>
    <w:rsid w:val="006A4EB1"/>
    <w:rsid w:val="006A5B3D"/>
    <w:rsid w:val="006A5DFF"/>
    <w:rsid w:val="006A5F3F"/>
    <w:rsid w:val="006B033F"/>
    <w:rsid w:val="006B0544"/>
    <w:rsid w:val="006B353C"/>
    <w:rsid w:val="006C1E6B"/>
    <w:rsid w:val="006D0DFD"/>
    <w:rsid w:val="006D2AE3"/>
    <w:rsid w:val="006D3A92"/>
    <w:rsid w:val="006E0446"/>
    <w:rsid w:val="006E4732"/>
    <w:rsid w:val="006E4FC6"/>
    <w:rsid w:val="006F07EF"/>
    <w:rsid w:val="006F1AD9"/>
    <w:rsid w:val="00700BF6"/>
    <w:rsid w:val="007037A4"/>
    <w:rsid w:val="00704C2B"/>
    <w:rsid w:val="007050D8"/>
    <w:rsid w:val="007050EA"/>
    <w:rsid w:val="00722F2F"/>
    <w:rsid w:val="007277A5"/>
    <w:rsid w:val="00736D90"/>
    <w:rsid w:val="00737178"/>
    <w:rsid w:val="007464BD"/>
    <w:rsid w:val="00746815"/>
    <w:rsid w:val="0075038E"/>
    <w:rsid w:val="007563B5"/>
    <w:rsid w:val="007674FB"/>
    <w:rsid w:val="007678EB"/>
    <w:rsid w:val="00767AF9"/>
    <w:rsid w:val="007713E8"/>
    <w:rsid w:val="00772372"/>
    <w:rsid w:val="00772D11"/>
    <w:rsid w:val="007764AD"/>
    <w:rsid w:val="007773B8"/>
    <w:rsid w:val="007774B2"/>
    <w:rsid w:val="00780CD5"/>
    <w:rsid w:val="00781A12"/>
    <w:rsid w:val="00782151"/>
    <w:rsid w:val="007848EB"/>
    <w:rsid w:val="0079006E"/>
    <w:rsid w:val="007902A0"/>
    <w:rsid w:val="00795D54"/>
    <w:rsid w:val="00796727"/>
    <w:rsid w:val="007B122A"/>
    <w:rsid w:val="007B44A7"/>
    <w:rsid w:val="007C1766"/>
    <w:rsid w:val="007C7956"/>
    <w:rsid w:val="007D0C02"/>
    <w:rsid w:val="007D6E6C"/>
    <w:rsid w:val="007D7DCF"/>
    <w:rsid w:val="007E26F6"/>
    <w:rsid w:val="007E4666"/>
    <w:rsid w:val="007E4947"/>
    <w:rsid w:val="007E5673"/>
    <w:rsid w:val="007E5A44"/>
    <w:rsid w:val="007F02A2"/>
    <w:rsid w:val="007F2F29"/>
    <w:rsid w:val="007F73D0"/>
    <w:rsid w:val="00803692"/>
    <w:rsid w:val="00804F5C"/>
    <w:rsid w:val="00805347"/>
    <w:rsid w:val="008057E3"/>
    <w:rsid w:val="00805C46"/>
    <w:rsid w:val="008067F9"/>
    <w:rsid w:val="00806AA3"/>
    <w:rsid w:val="00815536"/>
    <w:rsid w:val="00815ED7"/>
    <w:rsid w:val="008163E0"/>
    <w:rsid w:val="00816CE6"/>
    <w:rsid w:val="00820B7C"/>
    <w:rsid w:val="008216D9"/>
    <w:rsid w:val="00825FAD"/>
    <w:rsid w:val="00825FBD"/>
    <w:rsid w:val="0082645E"/>
    <w:rsid w:val="00832EAA"/>
    <w:rsid w:val="008474F3"/>
    <w:rsid w:val="00853E22"/>
    <w:rsid w:val="00854D10"/>
    <w:rsid w:val="008575E2"/>
    <w:rsid w:val="008603F5"/>
    <w:rsid w:val="00863910"/>
    <w:rsid w:val="008711DF"/>
    <w:rsid w:val="0087425C"/>
    <w:rsid w:val="00882958"/>
    <w:rsid w:val="00882FCB"/>
    <w:rsid w:val="00885145"/>
    <w:rsid w:val="008938F2"/>
    <w:rsid w:val="00895E98"/>
    <w:rsid w:val="008A3D6B"/>
    <w:rsid w:val="008A4E56"/>
    <w:rsid w:val="008A71A2"/>
    <w:rsid w:val="008B3F4F"/>
    <w:rsid w:val="008B7D72"/>
    <w:rsid w:val="008D0FC4"/>
    <w:rsid w:val="008D6DF4"/>
    <w:rsid w:val="008E7308"/>
    <w:rsid w:val="008F0CE5"/>
    <w:rsid w:val="008F5CB9"/>
    <w:rsid w:val="008F6109"/>
    <w:rsid w:val="0090490B"/>
    <w:rsid w:val="009052CC"/>
    <w:rsid w:val="00912AB3"/>
    <w:rsid w:val="00912DB0"/>
    <w:rsid w:val="00914AAA"/>
    <w:rsid w:val="009153C8"/>
    <w:rsid w:val="00940BD4"/>
    <w:rsid w:val="009503CF"/>
    <w:rsid w:val="009515CA"/>
    <w:rsid w:val="009538A5"/>
    <w:rsid w:val="00955877"/>
    <w:rsid w:val="00963829"/>
    <w:rsid w:val="00971581"/>
    <w:rsid w:val="00974C2E"/>
    <w:rsid w:val="00982A06"/>
    <w:rsid w:val="00982B9F"/>
    <w:rsid w:val="0098581A"/>
    <w:rsid w:val="009A1685"/>
    <w:rsid w:val="009A1760"/>
    <w:rsid w:val="009A5889"/>
    <w:rsid w:val="009A77D8"/>
    <w:rsid w:val="009B1340"/>
    <w:rsid w:val="009B2190"/>
    <w:rsid w:val="009B2326"/>
    <w:rsid w:val="009B454F"/>
    <w:rsid w:val="009B63EC"/>
    <w:rsid w:val="009B73E6"/>
    <w:rsid w:val="009C34C2"/>
    <w:rsid w:val="009D5A77"/>
    <w:rsid w:val="009E1DB2"/>
    <w:rsid w:val="009E795F"/>
    <w:rsid w:val="009F41E0"/>
    <w:rsid w:val="009F721E"/>
    <w:rsid w:val="00A05A9B"/>
    <w:rsid w:val="00A1775F"/>
    <w:rsid w:val="00A205AD"/>
    <w:rsid w:val="00A22875"/>
    <w:rsid w:val="00A260B0"/>
    <w:rsid w:val="00A30B26"/>
    <w:rsid w:val="00A3278B"/>
    <w:rsid w:val="00A33569"/>
    <w:rsid w:val="00A369C5"/>
    <w:rsid w:val="00A42E4B"/>
    <w:rsid w:val="00A44ACB"/>
    <w:rsid w:val="00A455FD"/>
    <w:rsid w:val="00A461C4"/>
    <w:rsid w:val="00A467AA"/>
    <w:rsid w:val="00A5019D"/>
    <w:rsid w:val="00A51E26"/>
    <w:rsid w:val="00A54344"/>
    <w:rsid w:val="00A55EE0"/>
    <w:rsid w:val="00A61510"/>
    <w:rsid w:val="00A70D15"/>
    <w:rsid w:val="00A80CE4"/>
    <w:rsid w:val="00A821F7"/>
    <w:rsid w:val="00A871EA"/>
    <w:rsid w:val="00A90F19"/>
    <w:rsid w:val="00A911A2"/>
    <w:rsid w:val="00A9314C"/>
    <w:rsid w:val="00A956A9"/>
    <w:rsid w:val="00AA1216"/>
    <w:rsid w:val="00AA3FC6"/>
    <w:rsid w:val="00AB0FEE"/>
    <w:rsid w:val="00AB3EA6"/>
    <w:rsid w:val="00AB617D"/>
    <w:rsid w:val="00AC228E"/>
    <w:rsid w:val="00AC7814"/>
    <w:rsid w:val="00AD04B5"/>
    <w:rsid w:val="00AD0EED"/>
    <w:rsid w:val="00AD59D9"/>
    <w:rsid w:val="00AD6373"/>
    <w:rsid w:val="00AE2482"/>
    <w:rsid w:val="00AF3B2E"/>
    <w:rsid w:val="00B00BC1"/>
    <w:rsid w:val="00B0206F"/>
    <w:rsid w:val="00B022FE"/>
    <w:rsid w:val="00B0271A"/>
    <w:rsid w:val="00B037E7"/>
    <w:rsid w:val="00B14792"/>
    <w:rsid w:val="00B24CEC"/>
    <w:rsid w:val="00B25FAC"/>
    <w:rsid w:val="00B41E40"/>
    <w:rsid w:val="00B426B3"/>
    <w:rsid w:val="00B502B4"/>
    <w:rsid w:val="00B50908"/>
    <w:rsid w:val="00B51252"/>
    <w:rsid w:val="00B5370B"/>
    <w:rsid w:val="00B5776F"/>
    <w:rsid w:val="00B65019"/>
    <w:rsid w:val="00B67D00"/>
    <w:rsid w:val="00B704EA"/>
    <w:rsid w:val="00B70DE9"/>
    <w:rsid w:val="00B725FB"/>
    <w:rsid w:val="00B748B3"/>
    <w:rsid w:val="00B74F7C"/>
    <w:rsid w:val="00B75D8C"/>
    <w:rsid w:val="00B77808"/>
    <w:rsid w:val="00B80073"/>
    <w:rsid w:val="00B879CA"/>
    <w:rsid w:val="00B9158A"/>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C51D3"/>
    <w:rsid w:val="00BC5F6D"/>
    <w:rsid w:val="00BD61F1"/>
    <w:rsid w:val="00BD737D"/>
    <w:rsid w:val="00BE13B4"/>
    <w:rsid w:val="00BE5907"/>
    <w:rsid w:val="00BF7304"/>
    <w:rsid w:val="00C0103B"/>
    <w:rsid w:val="00C02A12"/>
    <w:rsid w:val="00C10C34"/>
    <w:rsid w:val="00C1100C"/>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A7C"/>
    <w:rsid w:val="00C80B8D"/>
    <w:rsid w:val="00C812AF"/>
    <w:rsid w:val="00C81EA2"/>
    <w:rsid w:val="00C82683"/>
    <w:rsid w:val="00C82B6E"/>
    <w:rsid w:val="00C91319"/>
    <w:rsid w:val="00C92603"/>
    <w:rsid w:val="00C9327B"/>
    <w:rsid w:val="00C93FD9"/>
    <w:rsid w:val="00C95F40"/>
    <w:rsid w:val="00C96762"/>
    <w:rsid w:val="00CA2E5D"/>
    <w:rsid w:val="00CA443F"/>
    <w:rsid w:val="00CA5473"/>
    <w:rsid w:val="00CA6BB3"/>
    <w:rsid w:val="00CB00A7"/>
    <w:rsid w:val="00CB0B3B"/>
    <w:rsid w:val="00CB0BEB"/>
    <w:rsid w:val="00CB2A3D"/>
    <w:rsid w:val="00CB37D0"/>
    <w:rsid w:val="00CB4820"/>
    <w:rsid w:val="00CB5B6F"/>
    <w:rsid w:val="00CC38C0"/>
    <w:rsid w:val="00CC5410"/>
    <w:rsid w:val="00CD4476"/>
    <w:rsid w:val="00CE1835"/>
    <w:rsid w:val="00CF2A93"/>
    <w:rsid w:val="00CF41F0"/>
    <w:rsid w:val="00D06160"/>
    <w:rsid w:val="00D06F8D"/>
    <w:rsid w:val="00D074BF"/>
    <w:rsid w:val="00D11214"/>
    <w:rsid w:val="00D13FA6"/>
    <w:rsid w:val="00D15323"/>
    <w:rsid w:val="00D21561"/>
    <w:rsid w:val="00D22DD6"/>
    <w:rsid w:val="00D2534F"/>
    <w:rsid w:val="00D2674D"/>
    <w:rsid w:val="00D302B9"/>
    <w:rsid w:val="00D30B5F"/>
    <w:rsid w:val="00D31FAF"/>
    <w:rsid w:val="00D40B1D"/>
    <w:rsid w:val="00D431C4"/>
    <w:rsid w:val="00D46E52"/>
    <w:rsid w:val="00D62944"/>
    <w:rsid w:val="00D63A5B"/>
    <w:rsid w:val="00D66D62"/>
    <w:rsid w:val="00D702CF"/>
    <w:rsid w:val="00D71138"/>
    <w:rsid w:val="00D71179"/>
    <w:rsid w:val="00D719C6"/>
    <w:rsid w:val="00D75745"/>
    <w:rsid w:val="00D8104E"/>
    <w:rsid w:val="00D82568"/>
    <w:rsid w:val="00D85D06"/>
    <w:rsid w:val="00D944B9"/>
    <w:rsid w:val="00DA12D4"/>
    <w:rsid w:val="00DA3B2F"/>
    <w:rsid w:val="00DA6054"/>
    <w:rsid w:val="00DB017D"/>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3306"/>
    <w:rsid w:val="00DE6058"/>
    <w:rsid w:val="00DF0A99"/>
    <w:rsid w:val="00DF1EEC"/>
    <w:rsid w:val="00DF76FA"/>
    <w:rsid w:val="00E0647F"/>
    <w:rsid w:val="00E07169"/>
    <w:rsid w:val="00E10E71"/>
    <w:rsid w:val="00E13327"/>
    <w:rsid w:val="00E22856"/>
    <w:rsid w:val="00E27D57"/>
    <w:rsid w:val="00E349AC"/>
    <w:rsid w:val="00E369F7"/>
    <w:rsid w:val="00E36A4E"/>
    <w:rsid w:val="00E42307"/>
    <w:rsid w:val="00E451C1"/>
    <w:rsid w:val="00E521CD"/>
    <w:rsid w:val="00E60D04"/>
    <w:rsid w:val="00E64628"/>
    <w:rsid w:val="00E673CF"/>
    <w:rsid w:val="00E706CF"/>
    <w:rsid w:val="00E72E82"/>
    <w:rsid w:val="00E759BD"/>
    <w:rsid w:val="00E97C6A"/>
    <w:rsid w:val="00EA042C"/>
    <w:rsid w:val="00EA1DEC"/>
    <w:rsid w:val="00EA23E5"/>
    <w:rsid w:val="00EB2BF0"/>
    <w:rsid w:val="00EB56F0"/>
    <w:rsid w:val="00EB6163"/>
    <w:rsid w:val="00EB62BE"/>
    <w:rsid w:val="00EC0A10"/>
    <w:rsid w:val="00EC0B9F"/>
    <w:rsid w:val="00EC3BE1"/>
    <w:rsid w:val="00EC4B2D"/>
    <w:rsid w:val="00EC4D78"/>
    <w:rsid w:val="00EC50D1"/>
    <w:rsid w:val="00ED02A1"/>
    <w:rsid w:val="00ED755F"/>
    <w:rsid w:val="00EE21F6"/>
    <w:rsid w:val="00EE5402"/>
    <w:rsid w:val="00EE5F75"/>
    <w:rsid w:val="00EE6276"/>
    <w:rsid w:val="00F04DC0"/>
    <w:rsid w:val="00F05059"/>
    <w:rsid w:val="00F05559"/>
    <w:rsid w:val="00F101E7"/>
    <w:rsid w:val="00F13DD2"/>
    <w:rsid w:val="00F14EFD"/>
    <w:rsid w:val="00F15D42"/>
    <w:rsid w:val="00F2204E"/>
    <w:rsid w:val="00F3402C"/>
    <w:rsid w:val="00F417A2"/>
    <w:rsid w:val="00F50CC4"/>
    <w:rsid w:val="00F527CF"/>
    <w:rsid w:val="00F539C1"/>
    <w:rsid w:val="00F61222"/>
    <w:rsid w:val="00F612BE"/>
    <w:rsid w:val="00F645EA"/>
    <w:rsid w:val="00F656B7"/>
    <w:rsid w:val="00F656E8"/>
    <w:rsid w:val="00F67A9F"/>
    <w:rsid w:val="00F77170"/>
    <w:rsid w:val="00F826AB"/>
    <w:rsid w:val="00F9529A"/>
    <w:rsid w:val="00FA7621"/>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5914"/>
    <w:rsid w:val="00FD7F7E"/>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642350622">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C6F0C-94A9-40C9-96CF-E29859034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1025</Words>
  <Characters>5846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6858</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cp:revision>
  <dcterms:created xsi:type="dcterms:W3CDTF">2016-03-01T17:51:00Z</dcterms:created>
  <dcterms:modified xsi:type="dcterms:W3CDTF">2016-09-27T19:20:00Z</dcterms:modified>
</cp:coreProperties>
</file>